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300" w:line="240" w:lineRule="auto"/>
        <w:rPr>
          <w:rFonts w:ascii="Karla" w:cs="Karla" w:eastAsia="Karla" w:hAnsi="Karla"/>
          <w:color w:val="0d0d0d"/>
          <w:sz w:val="24"/>
          <w:szCs w:val="24"/>
        </w:rPr>
      </w:pPr>
      <w:r w:rsidDel="00000000" w:rsidR="00000000" w:rsidRPr="00000000">
        <w:rPr>
          <w:rFonts w:ascii="Karla" w:cs="Karla" w:eastAsia="Karla" w:hAnsi="Karla"/>
          <w:color w:val="0d0d0d"/>
          <w:sz w:val="24"/>
          <w:szCs w:val="24"/>
          <w:rtl w:val="0"/>
        </w:rPr>
        <w:t xml:space="preserve">It’s time to measure your NGOs financial sustainability. The following self-assessment tool is intended to assist you in evaluating key aspects of your organisation's financial stability, identifying strengths, and pinpointing areas for improvement. 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Karla" w:cs="Karla" w:eastAsia="Karla" w:hAnsi="Karla"/>
          <w:color w:val="0d0d0d"/>
          <w:sz w:val="24"/>
          <w:szCs w:val="24"/>
        </w:rPr>
      </w:pPr>
      <w:r w:rsidDel="00000000" w:rsidR="00000000" w:rsidRPr="00000000">
        <w:rPr>
          <w:rFonts w:ascii="Karla" w:cs="Karla" w:eastAsia="Karla" w:hAnsi="Karla"/>
          <w:color w:val="0d0d0d"/>
          <w:sz w:val="24"/>
          <w:szCs w:val="24"/>
          <w:rtl w:val="0"/>
        </w:rPr>
        <w:t xml:space="preserve">By answering these questions, you'll gain valuable insights to enhance your strategic decision-making and chart a path to greater sustainability. Let us start the journey to secure your NGOs financial future together. 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before="240" w:line="240" w:lineRule="auto"/>
        <w:rPr>
          <w:rFonts w:ascii="Karla" w:cs="Karla" w:eastAsia="Karla" w:hAnsi="Karla"/>
          <w:color w:val="0d0d0d"/>
          <w:sz w:val="24"/>
          <w:szCs w:val="24"/>
        </w:rPr>
      </w:pPr>
      <w:r w:rsidDel="00000000" w:rsidR="00000000" w:rsidRPr="00000000">
        <w:rPr>
          <w:rFonts w:ascii="Karla" w:cs="Karla" w:eastAsia="Karla" w:hAnsi="Karla"/>
          <w:color w:val="0d0d0d"/>
          <w:sz w:val="24"/>
          <w:szCs w:val="24"/>
          <w:rtl w:val="0"/>
        </w:rPr>
        <w:t xml:space="preserve">No worries if you don't know every metric; simply write down your own opinion.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What are the trends in revenue and expenditures over the past few years?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Which sources of income increased or reduced over the past four years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Grants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Service income/ commercial contracts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Income generating activities (earned income)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Fundraising 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other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What is the nature of donor funding? Do donors fund specific activities only? Do they fund specific facilities? </w:t>
              <w:tab/>
              <w:tab/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What is the overall trend in donor funding — is it increasing/decreas- ing? Are the number of donors increasing/decreasing? </w:t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How did the cost recovery on grants trend  develop over the past four years?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How did the unit cost per service delivered develop over the past four years? </w:t>
              <w:br w:type="textWrapping"/>
              <w:t xml:space="preserve">(Unit cost per service delivered are the cost of the distinctive service or good delivered to users of our services).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Did we manage to attract substantial new income to our organisation in the last four years?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What are our greatest risks related to our current income (e.g. loss of a critical donor, fundraising system failure)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What are our greatest risks related to our current expenditure (e.g. sudden increases, unforeseeable expenditure, threat of fraud going undetected)</w:t>
            </w:r>
          </w:p>
        </w:tc>
      </w:tr>
      <w:tr>
        <w:trPr>
          <w:cantSplit w:val="0"/>
          <w:trHeight w:val="295.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Q: What is the potential for expanding other sources of funding (new do- nors, local government, local fundraising, etc.)?</w:t>
              <w:tab/>
              <w:tab/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rPr>
                <w:rFonts w:ascii="Karla" w:cs="Karla" w:eastAsia="Karla" w:hAnsi="Karla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Karla" w:cs="Karla" w:eastAsia="Karla" w:hAnsi="Karla"/>
                <w:color w:val="0d0d0d"/>
                <w:sz w:val="24"/>
                <w:szCs w:val="24"/>
                <w:rtl w:val="0"/>
              </w:rPr>
              <w:t xml:space="preserve">A: </w:t>
            </w:r>
          </w:p>
        </w:tc>
      </w:tr>
    </w:tbl>
    <w:p w:rsidR="00000000" w:rsidDel="00000000" w:rsidP="00000000" w:rsidRDefault="00000000" w:rsidRPr="00000000" w14:paraId="00000027">
      <w:pPr>
        <w:spacing w:line="240" w:lineRule="auto"/>
        <w:rPr>
          <w:rFonts w:ascii="Karla" w:cs="Karla" w:eastAsia="Karla" w:hAnsi="Karl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Karla" w:cs="Karla" w:eastAsia="Karla" w:hAnsi="Karl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Karl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21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Karla-regular.ttf"/><Relationship Id="rId4" Type="http://schemas.openxmlformats.org/officeDocument/2006/relationships/font" Target="fonts/Karla-bold.ttf"/><Relationship Id="rId5" Type="http://schemas.openxmlformats.org/officeDocument/2006/relationships/font" Target="fonts/Karla-italic.ttf"/><Relationship Id="rId6" Type="http://schemas.openxmlformats.org/officeDocument/2006/relationships/font" Target="fonts/Karl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